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E410" w14:textId="5FD679B8" w:rsidR="005F7D80" w:rsidRPr="00DC55D9" w:rsidRDefault="00DC55D9" w:rsidP="00DC55D9">
      <w:pPr>
        <w:jc w:val="center"/>
        <w:rPr>
          <w:rFonts w:ascii="Times New Roman" w:hAnsi="Times New Roman" w:cs="Times New Roman"/>
          <w:b/>
          <w:bCs/>
          <w:sz w:val="28"/>
          <w:szCs w:val="28"/>
        </w:rPr>
      </w:pPr>
      <w:r w:rsidRPr="00DC55D9">
        <w:rPr>
          <w:rFonts w:ascii="Times New Roman" w:hAnsi="Times New Roman" w:cs="Times New Roman"/>
          <w:b/>
          <w:bCs/>
          <w:sz w:val="28"/>
          <w:szCs w:val="28"/>
        </w:rPr>
        <w:t>California organic rice acreage and farm number</w:t>
      </w:r>
    </w:p>
    <w:p w14:paraId="573EA5CB" w14:textId="77777777" w:rsidR="00DC55D9" w:rsidRDefault="00DC55D9" w:rsidP="00DC55D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2008 Organic Production Survey (OPS) is the first organic production and practices survey</w:t>
      </w:r>
      <w:r>
        <w:rPr>
          <w:rFonts w:ascii="TimesNewRomanPSMT" w:hAnsi="TimesNewRomanPSMT" w:cs="TimesNewRomanPSMT"/>
          <w:sz w:val="24"/>
          <w:szCs w:val="24"/>
        </w:rPr>
        <w:t xml:space="preserve"> </w:t>
      </w:r>
      <w:r>
        <w:rPr>
          <w:rFonts w:ascii="TimesNewRomanPSMT" w:hAnsi="TimesNewRomanPSMT" w:cs="TimesNewRomanPSMT"/>
          <w:sz w:val="24"/>
          <w:szCs w:val="24"/>
        </w:rPr>
        <w:t>conducted on the national level by the U.S.</w:t>
      </w:r>
      <w:r>
        <w:rPr>
          <w:rFonts w:ascii="TimesNewRomanPSMT" w:hAnsi="TimesNewRomanPSMT" w:cs="TimesNewRomanPSMT"/>
          <w:sz w:val="24"/>
          <w:szCs w:val="24"/>
        </w:rPr>
        <w:t xml:space="preserve"> </w:t>
      </w:r>
      <w:r>
        <w:rPr>
          <w:rFonts w:ascii="TimesNewRomanPSMT" w:hAnsi="TimesNewRomanPSMT" w:cs="TimesNewRomanPSMT"/>
          <w:sz w:val="24"/>
          <w:szCs w:val="24"/>
        </w:rPr>
        <w:t>Department of Agriculture (USDA), National</w:t>
      </w:r>
      <w:r>
        <w:rPr>
          <w:rFonts w:ascii="TimesNewRomanPSMT" w:hAnsi="TimesNewRomanPSMT" w:cs="TimesNewRomanPSMT"/>
          <w:sz w:val="24"/>
          <w:szCs w:val="24"/>
        </w:rPr>
        <w:t xml:space="preserve"> </w:t>
      </w:r>
      <w:r>
        <w:rPr>
          <w:rFonts w:ascii="TimesNewRomanPSMT" w:hAnsi="TimesNewRomanPSMT" w:cs="TimesNewRomanPSMT"/>
          <w:sz w:val="24"/>
          <w:szCs w:val="24"/>
        </w:rPr>
        <w:t>Agricultural Statistics Service (NASS).</w:t>
      </w:r>
      <w:r>
        <w:rPr>
          <w:rFonts w:ascii="TimesNewRomanPSMT" w:hAnsi="TimesNewRomanPSMT" w:cs="TimesNewRomanPSMT"/>
          <w:sz w:val="24"/>
          <w:szCs w:val="24"/>
        </w:rPr>
        <w:t xml:space="preserve"> The link to the data is: </w:t>
      </w:r>
    </w:p>
    <w:p w14:paraId="41E600FB" w14:textId="77777777" w:rsidR="00DC55D9" w:rsidRDefault="00DC55D9" w:rsidP="00DC55D9">
      <w:pPr>
        <w:autoSpaceDE w:val="0"/>
        <w:autoSpaceDN w:val="0"/>
        <w:adjustRightInd w:val="0"/>
        <w:spacing w:after="0" w:line="240" w:lineRule="auto"/>
        <w:rPr>
          <w:rFonts w:ascii="TimesNewRomanPSMT" w:hAnsi="TimesNewRomanPSMT" w:cs="TimesNewRomanPSMT"/>
          <w:sz w:val="24"/>
          <w:szCs w:val="24"/>
        </w:rPr>
      </w:pPr>
    </w:p>
    <w:p w14:paraId="420871DE" w14:textId="196B3BE8" w:rsidR="00DC55D9" w:rsidRDefault="00DC55D9" w:rsidP="00DC55D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hyperlink r:id="rId4" w:history="1">
        <w:r w:rsidRPr="008C1061">
          <w:rPr>
            <w:rStyle w:val="Hyperlink"/>
            <w:rFonts w:ascii="TimesNewRomanPSMT" w:hAnsi="TimesNewRomanPSMT" w:cs="TimesNewRomanPSMT"/>
            <w:sz w:val="24"/>
            <w:szCs w:val="24"/>
          </w:rPr>
          <w:t>https://www.nass.usda.gov/Surveys/Guide_to_NASS_Surveys/Organic_Production/</w:t>
        </w:r>
      </w:hyperlink>
    </w:p>
    <w:p w14:paraId="3B2F5997" w14:textId="2FC084E3" w:rsidR="00DC55D9" w:rsidRDefault="00DC55D9" w:rsidP="00DC55D9">
      <w:pPr>
        <w:autoSpaceDE w:val="0"/>
        <w:autoSpaceDN w:val="0"/>
        <w:adjustRightInd w:val="0"/>
        <w:spacing w:after="0" w:line="240" w:lineRule="auto"/>
      </w:pPr>
    </w:p>
    <w:p w14:paraId="07B6BAEE" w14:textId="11F278A7" w:rsidR="00DC55D9" w:rsidRDefault="00DC55D9" w:rsidP="00DC55D9">
      <w:pPr>
        <w:autoSpaceDE w:val="0"/>
        <w:autoSpaceDN w:val="0"/>
        <w:adjustRightInd w:val="0"/>
        <w:spacing w:after="0" w:line="240" w:lineRule="auto"/>
      </w:pPr>
      <w:r>
        <w:t xml:space="preserve">The survey is not conducted every year. The highest acreage reported is in 2021 at 17,590 acres and the lowest in 2016 of 13,268 acres. The number of farms with organic fields ranged from 46 (2014) to 74 (2015). </w:t>
      </w:r>
    </w:p>
    <w:p w14:paraId="56FA6A7A" w14:textId="77777777" w:rsidR="00DC55D9" w:rsidRDefault="00DC55D9" w:rsidP="00DC55D9">
      <w:pPr>
        <w:autoSpaceDE w:val="0"/>
        <w:autoSpaceDN w:val="0"/>
        <w:adjustRightInd w:val="0"/>
        <w:spacing w:after="0" w:line="240" w:lineRule="auto"/>
      </w:pPr>
    </w:p>
    <w:p w14:paraId="6604343A" w14:textId="68188DC8" w:rsidR="00DC55D9" w:rsidRDefault="00DC55D9" w:rsidP="00DC55D9">
      <w:pPr>
        <w:autoSpaceDE w:val="0"/>
        <w:autoSpaceDN w:val="0"/>
        <w:adjustRightInd w:val="0"/>
        <w:spacing w:after="0" w:line="240" w:lineRule="auto"/>
      </w:pPr>
      <w:r>
        <w:rPr>
          <w:noProof/>
        </w:rPr>
        <w:drawing>
          <wp:inline distT="0" distB="0" distL="0" distR="0" wp14:anchorId="11042D37" wp14:editId="5CEB40F4">
            <wp:extent cx="5838825" cy="4305300"/>
            <wp:effectExtent l="0" t="0" r="9525" b="0"/>
            <wp:docPr id="1" name="Chart 1">
              <a:extLst xmlns:a="http://schemas.openxmlformats.org/drawingml/2006/main">
                <a:ext uri="{FF2B5EF4-FFF2-40B4-BE49-F238E27FC236}">
                  <a16:creationId xmlns:a16="http://schemas.microsoft.com/office/drawing/2014/main" id="{4E604C02-4BED-45C0-B5A9-8434F8BF15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DC5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D9"/>
    <w:rsid w:val="00273786"/>
    <w:rsid w:val="005F7D80"/>
    <w:rsid w:val="00DC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E09E"/>
  <w15:chartTrackingRefBased/>
  <w15:docId w15:val="{AB2D88AF-C17A-4A39-8FCE-B948AEA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5D9"/>
    <w:rPr>
      <w:color w:val="0563C1" w:themeColor="hyperlink"/>
      <w:u w:val="single"/>
    </w:rPr>
  </w:style>
  <w:style w:type="character" w:styleId="UnresolvedMention">
    <w:name w:val="Unresolved Mention"/>
    <w:basedOn w:val="DefaultParagraphFont"/>
    <w:uiPriority w:val="99"/>
    <w:semiHidden/>
    <w:unhideWhenUsed/>
    <w:rsid w:val="00DC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https://www.nass.usda.gov/Surveys/Guide_to_NASS_Surveys/Organic_Produc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uce\Downloads\Organic%20Rice%20Acreage%20in%20California(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r>
              <a:rPr lang="en-US"/>
              <a:t>California organic farms and acerage</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State!$B$6</c:f>
              <c:strCache>
                <c:ptCount val="1"/>
                <c:pt idx="0">
                  <c:v>farm #</c:v>
                </c:pt>
              </c:strCache>
            </c:strRef>
          </c:tx>
          <c:spPr>
            <a:solidFill>
              <a:schemeClr val="accent1"/>
            </a:solidFill>
            <a:ln>
              <a:noFill/>
            </a:ln>
            <a:effectLst/>
          </c:spPr>
          <c:invertIfNegative val="0"/>
          <c:cat>
            <c:numRef>
              <c:f>State!$A$20:$A$33</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State!$B$20:$B$33</c:f>
              <c:numCache>
                <c:formatCode>General</c:formatCode>
                <c:ptCount val="14"/>
                <c:pt idx="0">
                  <c:v>73</c:v>
                </c:pt>
                <c:pt idx="3">
                  <c:v>50</c:v>
                </c:pt>
                <c:pt idx="6">
                  <c:v>46</c:v>
                </c:pt>
                <c:pt idx="7">
                  <c:v>74</c:v>
                </c:pt>
                <c:pt idx="8">
                  <c:v>59</c:v>
                </c:pt>
                <c:pt idx="11">
                  <c:v>56</c:v>
                </c:pt>
                <c:pt idx="13">
                  <c:v>56</c:v>
                </c:pt>
              </c:numCache>
            </c:numRef>
          </c:val>
          <c:extLst>
            <c:ext xmlns:c16="http://schemas.microsoft.com/office/drawing/2014/chart" uri="{C3380CC4-5D6E-409C-BE32-E72D297353CC}">
              <c16:uniqueId val="{00000000-3DB2-4963-9F52-51CC63D17F5B}"/>
            </c:ext>
          </c:extLst>
        </c:ser>
        <c:dLbls>
          <c:showLegendKey val="0"/>
          <c:showVal val="0"/>
          <c:showCatName val="0"/>
          <c:showSerName val="0"/>
          <c:showPercent val="0"/>
          <c:showBubbleSize val="0"/>
        </c:dLbls>
        <c:gapWidth val="219"/>
        <c:axId val="732028656"/>
        <c:axId val="732029968"/>
      </c:barChart>
      <c:lineChart>
        <c:grouping val="standard"/>
        <c:varyColors val="0"/>
        <c:ser>
          <c:idx val="1"/>
          <c:order val="1"/>
          <c:tx>
            <c:strRef>
              <c:f>State!$C$6</c:f>
              <c:strCache>
                <c:ptCount val="1"/>
                <c:pt idx="0">
                  <c:v>Acres</c:v>
                </c:pt>
              </c:strCache>
            </c:strRef>
          </c:tx>
          <c:spPr>
            <a:ln w="28575" cap="rnd">
              <a:noFill/>
              <a:round/>
            </a:ln>
            <a:effectLst/>
          </c:spPr>
          <c:marker>
            <c:symbol val="circle"/>
            <c:size val="8"/>
            <c:spPr>
              <a:noFill/>
              <a:ln w="9525">
                <a:solidFill>
                  <a:schemeClr val="tx1"/>
                </a:solidFill>
              </a:ln>
              <a:effectLst/>
            </c:spPr>
          </c:marker>
          <c:cat>
            <c:numRef>
              <c:f>State!$A$20:$A$33</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State!$C$20:$C$33</c:f>
              <c:numCache>
                <c:formatCode>General</c:formatCode>
                <c:ptCount val="14"/>
                <c:pt idx="0">
                  <c:v>15068</c:v>
                </c:pt>
                <c:pt idx="3">
                  <c:v>16160</c:v>
                </c:pt>
                <c:pt idx="6">
                  <c:v>11203</c:v>
                </c:pt>
                <c:pt idx="7">
                  <c:v>16690</c:v>
                </c:pt>
                <c:pt idx="8">
                  <c:v>13268</c:v>
                </c:pt>
                <c:pt idx="11">
                  <c:v>14072</c:v>
                </c:pt>
                <c:pt idx="13">
                  <c:v>17590</c:v>
                </c:pt>
              </c:numCache>
            </c:numRef>
          </c:val>
          <c:smooth val="0"/>
          <c:extLst>
            <c:ext xmlns:c16="http://schemas.microsoft.com/office/drawing/2014/chart" uri="{C3380CC4-5D6E-409C-BE32-E72D297353CC}">
              <c16:uniqueId val="{00000001-3DB2-4963-9F52-51CC63D17F5B}"/>
            </c:ext>
          </c:extLst>
        </c:ser>
        <c:dLbls>
          <c:showLegendKey val="0"/>
          <c:showVal val="0"/>
          <c:showCatName val="0"/>
          <c:showSerName val="0"/>
          <c:showPercent val="0"/>
          <c:showBubbleSize val="0"/>
        </c:dLbls>
        <c:marker val="1"/>
        <c:smooth val="0"/>
        <c:axId val="475730680"/>
        <c:axId val="475731664"/>
      </c:lineChart>
      <c:catAx>
        <c:axId val="475730680"/>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475731664"/>
        <c:crosses val="autoZero"/>
        <c:auto val="1"/>
        <c:lblAlgn val="ctr"/>
        <c:lblOffset val="100"/>
        <c:noMultiLvlLbl val="0"/>
      </c:catAx>
      <c:valAx>
        <c:axId val="475731664"/>
        <c:scaling>
          <c:orientation val="minMax"/>
        </c:scaling>
        <c:delete val="0"/>
        <c:axPos val="l"/>
        <c:title>
          <c:tx>
            <c:rich>
              <a:bodyPr rot="-5400000" spcFirstLastPara="1" vertOverflow="ellipsis" vert="horz" wrap="square" anchor="ctr" anchorCtr="1"/>
              <a:lstStyle/>
              <a:p>
                <a:pPr>
                  <a:defRPr sz="1400" b="0" i="0" u="none" strike="noStrike" kern="1200" baseline="0">
                    <a:ln>
                      <a:solidFill>
                        <a:schemeClr val="tx1"/>
                      </a:solidFill>
                    </a:ln>
                    <a:solidFill>
                      <a:schemeClr val="tx1">
                        <a:lumMod val="65000"/>
                        <a:lumOff val="35000"/>
                      </a:schemeClr>
                    </a:solidFill>
                    <a:latin typeface="+mn-lt"/>
                    <a:ea typeface="+mn-ea"/>
                    <a:cs typeface="+mn-cs"/>
                  </a:defRPr>
                </a:pPr>
                <a:r>
                  <a:rPr lang="en-US" sz="1400"/>
                  <a:t>Acerage</a:t>
                </a:r>
              </a:p>
            </c:rich>
          </c:tx>
          <c:layout>
            <c:manualLayout>
              <c:xMode val="edge"/>
              <c:yMode val="edge"/>
              <c:x val="2.1750951604132679E-3"/>
              <c:y val="0.43048173181892085"/>
            </c:manualLayout>
          </c:layout>
          <c:overlay val="0"/>
          <c:spPr>
            <a:noFill/>
            <a:ln>
              <a:noFill/>
            </a:ln>
            <a:effectLst/>
          </c:spPr>
          <c:txPr>
            <a:bodyPr rot="-5400000" spcFirstLastPara="1" vertOverflow="ellipsis" vert="horz" wrap="square" anchor="ctr" anchorCtr="1"/>
            <a:lstStyle/>
            <a:p>
              <a:pPr>
                <a:defRPr sz="14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475730680"/>
        <c:crosses val="autoZero"/>
        <c:crossBetween val="between"/>
      </c:valAx>
      <c:valAx>
        <c:axId val="732029968"/>
        <c:scaling>
          <c:orientation val="minMax"/>
        </c:scaling>
        <c:delete val="0"/>
        <c:axPos val="r"/>
        <c:title>
          <c:tx>
            <c:rich>
              <a:bodyPr rot="-5400000" spcFirstLastPara="1" vertOverflow="ellipsis" vert="horz" wrap="square" anchor="ctr" anchorCtr="1"/>
              <a:lstStyle/>
              <a:p>
                <a:pPr>
                  <a:defRPr sz="1400" b="0" i="0" u="none" strike="noStrike" kern="1200" baseline="0">
                    <a:ln>
                      <a:solidFill>
                        <a:schemeClr val="tx1"/>
                      </a:solidFill>
                    </a:ln>
                    <a:solidFill>
                      <a:schemeClr val="tx1">
                        <a:lumMod val="65000"/>
                        <a:lumOff val="35000"/>
                      </a:schemeClr>
                    </a:solidFill>
                    <a:latin typeface="+mn-lt"/>
                    <a:ea typeface="+mn-ea"/>
                    <a:cs typeface="+mn-cs"/>
                  </a:defRPr>
                </a:pPr>
                <a:r>
                  <a:rPr lang="en-US" sz="1400"/>
                  <a:t>Farm number</a:t>
                </a:r>
              </a:p>
            </c:rich>
          </c:tx>
          <c:layout>
            <c:manualLayout>
              <c:xMode val="edge"/>
              <c:yMode val="edge"/>
              <c:x val="0.95605211665018219"/>
              <c:y val="0.39628550855921768"/>
            </c:manualLayout>
          </c:layout>
          <c:overlay val="0"/>
          <c:spPr>
            <a:noFill/>
            <a:ln>
              <a:noFill/>
            </a:ln>
            <a:effectLst/>
          </c:spPr>
          <c:txPr>
            <a:bodyPr rot="-5400000" spcFirstLastPara="1" vertOverflow="ellipsis" vert="horz" wrap="square" anchor="ctr" anchorCtr="1"/>
            <a:lstStyle/>
            <a:p>
              <a:pPr>
                <a:defRPr sz="14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732028656"/>
        <c:crosses val="max"/>
        <c:crossBetween val="between"/>
      </c:valAx>
      <c:catAx>
        <c:axId val="732028656"/>
        <c:scaling>
          <c:orientation val="minMax"/>
        </c:scaling>
        <c:delete val="1"/>
        <c:axPos val="b"/>
        <c:numFmt formatCode="General" sourceLinked="1"/>
        <c:majorTickMark val="out"/>
        <c:minorTickMark val="none"/>
        <c:tickLblPos val="nextTo"/>
        <c:crossAx val="732029968"/>
        <c:crosses val="autoZero"/>
        <c:auto val="1"/>
        <c:lblAlgn val="ctr"/>
        <c:lblOffset val="100"/>
        <c:noMultiLvlLbl val="0"/>
      </c:catAx>
      <c:spPr>
        <a:noFill/>
        <a:ln>
          <a:solidFill>
            <a:schemeClr val="tx1"/>
          </a:solidFill>
        </a:ln>
        <a:effectLst/>
      </c:spPr>
    </c:plotArea>
    <c:legend>
      <c:legendPos val="b"/>
      <c:layout>
        <c:manualLayout>
          <c:xMode val="edge"/>
          <c:yMode val="edge"/>
          <c:x val="0.62768485097600968"/>
          <c:y val="0.15081086103175154"/>
          <c:w val="0.12962214144112899"/>
          <c:h val="0.12352542215408911"/>
        </c:manualLayout>
      </c:layout>
      <c:overlay val="0"/>
      <c:spPr>
        <a:noFill/>
        <a:ln>
          <a:noFill/>
        </a:ln>
        <a:effectLst/>
      </c:spPr>
      <c:txPr>
        <a:bodyPr rot="0" spcFirstLastPara="1" vertOverflow="ellipsis" vert="horz" wrap="square" anchor="ctr" anchorCtr="1"/>
        <a:lstStyle/>
        <a:p>
          <a:pPr>
            <a:defRPr sz="1050" b="0" i="0" u="none" strike="noStrike" kern="1200" baseline="0">
              <a:ln>
                <a:solidFill>
                  <a:schemeClr val="tx1"/>
                </a:solid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 Linquist</dc:creator>
  <cp:keywords/>
  <dc:description/>
  <cp:lastModifiedBy>Bruce A Linquist</cp:lastModifiedBy>
  <cp:revision>1</cp:revision>
  <dcterms:created xsi:type="dcterms:W3CDTF">2024-05-10T21:56:00Z</dcterms:created>
  <dcterms:modified xsi:type="dcterms:W3CDTF">2024-05-10T22:08:00Z</dcterms:modified>
</cp:coreProperties>
</file>